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B557E" w14:textId="5935DA92" w:rsidR="007A3C7A" w:rsidRPr="007A3C7A" w:rsidRDefault="007A3C7A" w:rsidP="007A3C7A">
      <w:pPr>
        <w:pStyle w:val="Header"/>
        <w:tabs>
          <w:tab w:val="right" w:pos="9781"/>
          <w:tab w:val="right" w:pos="13323"/>
        </w:tabs>
        <w:spacing w:before="60" w:after="60"/>
        <w:outlineLvl w:val="0"/>
        <w:rPr>
          <w:rFonts w:ascii="Arial" w:eastAsia="SimSun" w:hAnsi="Arial" w:cs="Arial"/>
          <w:b/>
          <w:sz w:val="24"/>
          <w:lang w:eastAsia="zh-CN"/>
        </w:rPr>
      </w:pPr>
      <w:bookmarkStart w:id="0" w:name="Title"/>
      <w:bookmarkStart w:id="1" w:name="DocumentFor"/>
      <w:bookmarkEnd w:id="0"/>
      <w:bookmarkEnd w:id="1"/>
      <w:r w:rsidRPr="007A3C7A">
        <w:rPr>
          <w:rFonts w:ascii="Arial" w:eastAsia="SimSun" w:hAnsi="Arial" w:cs="Arial"/>
          <w:b/>
          <w:sz w:val="24"/>
          <w:lang w:eastAsia="zh-CN"/>
        </w:rPr>
        <w:t>3GPP TSG-RAN WG4 Meeting #117</w:t>
      </w:r>
      <w:r w:rsidRPr="007A3C7A">
        <w:rPr>
          <w:rFonts w:ascii="Arial" w:eastAsia="SimSun" w:hAnsi="Arial" w:cs="Arial"/>
          <w:b/>
          <w:sz w:val="24"/>
          <w:lang w:eastAsia="zh-CN"/>
        </w:rPr>
        <w:tab/>
      </w:r>
      <w:r w:rsidRPr="007A3C7A">
        <w:rPr>
          <w:rFonts w:ascii="Arial" w:eastAsia="SimSun" w:hAnsi="Arial" w:cs="Arial"/>
          <w:b/>
          <w:sz w:val="24"/>
          <w:lang w:eastAsia="zh-CN"/>
        </w:rPr>
        <w:tab/>
        <w:t>R4-25</w:t>
      </w:r>
      <w:r w:rsidR="002A1C07">
        <w:rPr>
          <w:rFonts w:ascii="Arial" w:eastAsia="SimSun" w:hAnsi="Arial" w:cs="Arial"/>
          <w:b/>
          <w:sz w:val="24"/>
          <w:lang w:eastAsia="zh-CN"/>
        </w:rPr>
        <w:t>20216</w:t>
      </w:r>
    </w:p>
    <w:p w14:paraId="5F3B63E4" w14:textId="77777777" w:rsidR="007A3C7A" w:rsidRPr="007A3C7A" w:rsidRDefault="007A3C7A" w:rsidP="007A3C7A">
      <w:pPr>
        <w:pStyle w:val="Header"/>
        <w:tabs>
          <w:tab w:val="right" w:pos="9781"/>
          <w:tab w:val="right" w:pos="13323"/>
        </w:tabs>
        <w:spacing w:before="60" w:after="60"/>
        <w:outlineLvl w:val="0"/>
        <w:rPr>
          <w:rFonts w:ascii="Arial" w:eastAsia="SimSun" w:hAnsi="Arial" w:cs="Arial"/>
          <w:b/>
          <w:sz w:val="24"/>
          <w:lang w:eastAsia="zh-CN"/>
        </w:rPr>
      </w:pPr>
      <w:r w:rsidRPr="007A3C7A">
        <w:rPr>
          <w:rFonts w:ascii="Arial" w:eastAsia="SimSun" w:hAnsi="Arial" w:cs="Arial"/>
          <w:b/>
          <w:sz w:val="24"/>
          <w:lang w:eastAsia="zh-CN"/>
        </w:rPr>
        <w:t>Dallas, USA, Nov. 17-21, 2025</w:t>
      </w:r>
    </w:p>
    <w:p w14:paraId="0474069D" w14:textId="48A35129" w:rsidR="007A3C7A" w:rsidRPr="007A3C7A" w:rsidRDefault="007A3C7A" w:rsidP="007A3C7A">
      <w:pPr>
        <w:tabs>
          <w:tab w:val="left" w:pos="1985"/>
        </w:tabs>
        <w:spacing w:before="60" w:after="60"/>
        <w:rPr>
          <w:rFonts w:ascii="Arial" w:eastAsia="SimSun" w:hAnsi="Arial" w:cs="Arial"/>
          <w:bCs/>
        </w:rPr>
      </w:pPr>
      <w:r w:rsidRPr="007A3C7A">
        <w:rPr>
          <w:rFonts w:ascii="Arial" w:eastAsia="SimSun" w:hAnsi="Arial" w:cs="Arial"/>
          <w:bCs/>
        </w:rPr>
        <w:t>Agenda Item:</w:t>
      </w:r>
      <w:r w:rsidRPr="007A3C7A">
        <w:rPr>
          <w:rFonts w:ascii="Arial" w:eastAsia="SimSun" w:hAnsi="Arial" w:cs="Arial"/>
          <w:bCs/>
        </w:rPr>
        <w:tab/>
        <w:t>8.2.1</w:t>
      </w:r>
    </w:p>
    <w:p w14:paraId="722E595F" w14:textId="0499D7F6" w:rsidR="007A3C7A" w:rsidRPr="007A3C7A" w:rsidRDefault="007A3C7A" w:rsidP="007A3C7A">
      <w:pPr>
        <w:tabs>
          <w:tab w:val="left" w:pos="1985"/>
        </w:tabs>
        <w:spacing w:before="60" w:after="60"/>
        <w:rPr>
          <w:rFonts w:ascii="Arial" w:hAnsi="Arial" w:cs="Arial"/>
          <w:bCs/>
          <w:lang w:eastAsia="ja-JP"/>
        </w:rPr>
      </w:pPr>
      <w:r w:rsidRPr="007A3C7A">
        <w:rPr>
          <w:rFonts w:ascii="Arial" w:hAnsi="Arial" w:cs="Arial"/>
          <w:bCs/>
        </w:rPr>
        <w:t xml:space="preserve">Source: </w:t>
      </w:r>
      <w:r w:rsidRPr="007A3C7A">
        <w:rPr>
          <w:rFonts w:ascii="Arial" w:hAnsi="Arial" w:cs="Arial"/>
          <w:bCs/>
        </w:rPr>
        <w:tab/>
        <w:t xml:space="preserve">Amazon </w:t>
      </w:r>
    </w:p>
    <w:p w14:paraId="77279562" w14:textId="79AAFCCE" w:rsidR="007A3C7A" w:rsidRPr="007A3C7A" w:rsidRDefault="007A3C7A" w:rsidP="007A3C7A">
      <w:pPr>
        <w:tabs>
          <w:tab w:val="left" w:pos="1985"/>
        </w:tabs>
        <w:spacing w:before="60" w:after="60"/>
        <w:rPr>
          <w:rFonts w:ascii="Arial" w:eastAsia="SimSun" w:hAnsi="Arial" w:cs="Arial"/>
          <w:bCs/>
        </w:rPr>
      </w:pPr>
      <w:r w:rsidRPr="007A3C7A">
        <w:rPr>
          <w:rFonts w:ascii="Arial" w:hAnsi="Arial" w:cs="Arial"/>
          <w:bCs/>
        </w:rPr>
        <w:t xml:space="preserve">Title: </w:t>
      </w:r>
      <w:r w:rsidRPr="007A3C7A">
        <w:rPr>
          <w:rFonts w:ascii="Arial" w:hAnsi="Arial" w:cs="Arial"/>
          <w:bCs/>
        </w:rPr>
        <w:tab/>
      </w:r>
      <w:r w:rsidR="008467FF">
        <w:rPr>
          <w:rFonts w:ascii="Arial" w:hAnsi="Arial" w:cs="Arial"/>
          <w:bCs/>
          <w:lang w:eastAsia="ja-JP"/>
        </w:rPr>
        <w:t xml:space="preserve">Consideration on 6GR </w:t>
      </w:r>
      <w:r w:rsidR="0022102C">
        <w:rPr>
          <w:rFonts w:ascii="Arial" w:hAnsi="Arial" w:cs="Arial"/>
          <w:bCs/>
          <w:lang w:eastAsia="ja-JP"/>
        </w:rPr>
        <w:t>waveform</w:t>
      </w:r>
    </w:p>
    <w:p w14:paraId="449AC4D1" w14:textId="7D178868" w:rsidR="007A3C7A" w:rsidRPr="007A3C7A" w:rsidRDefault="007A3C7A" w:rsidP="007A3C7A">
      <w:pPr>
        <w:tabs>
          <w:tab w:val="left" w:pos="1985"/>
        </w:tabs>
        <w:spacing w:before="60" w:after="60"/>
        <w:rPr>
          <w:rFonts w:ascii="Arial" w:hAnsi="Arial" w:cs="Arial"/>
          <w:bCs/>
        </w:rPr>
      </w:pPr>
      <w:r w:rsidRPr="007A3C7A">
        <w:rPr>
          <w:rFonts w:ascii="Arial" w:hAnsi="Arial" w:cs="Arial"/>
          <w:bCs/>
        </w:rPr>
        <w:t>Document for:</w:t>
      </w:r>
      <w:r w:rsidRPr="007A3C7A">
        <w:rPr>
          <w:rFonts w:ascii="Arial" w:hAnsi="Arial" w:cs="Arial"/>
          <w:bCs/>
        </w:rPr>
        <w:tab/>
        <w:t>Discussion</w:t>
      </w:r>
    </w:p>
    <w:p w14:paraId="1ACA9E98" w14:textId="77777777" w:rsidR="00791306" w:rsidRPr="007A3C7A" w:rsidRDefault="00791306" w:rsidP="00E05E6B">
      <w:pPr>
        <w:pBdr>
          <w:bottom w:val="single" w:sz="4" w:space="1" w:color="auto"/>
        </w:pBdr>
        <w:rPr>
          <w:b/>
          <w:sz w:val="16"/>
          <w:szCs w:val="16"/>
        </w:rPr>
      </w:pPr>
    </w:p>
    <w:p w14:paraId="6A32EC28" w14:textId="77777777" w:rsidR="00880CFD" w:rsidRPr="007A3C7A" w:rsidRDefault="00791306" w:rsidP="00880CFD">
      <w:pPr>
        <w:pStyle w:val="Heading1"/>
      </w:pPr>
      <w:bookmarkStart w:id="2" w:name="_Ref124589705"/>
      <w:bookmarkStart w:id="3" w:name="_Ref129681862"/>
      <w:r w:rsidRPr="007A3C7A">
        <w:t>Introduction</w:t>
      </w:r>
      <w:bookmarkEnd w:id="2"/>
      <w:bookmarkEnd w:id="3"/>
    </w:p>
    <w:p w14:paraId="3E9AAA8D" w14:textId="77777777" w:rsidR="00BF28E0" w:rsidRPr="007A3C7A" w:rsidRDefault="000D516B" w:rsidP="005C108E">
      <w:r w:rsidRPr="007A3C7A">
        <w:t>The 6G Radio Study Item was approved at the RAN#108 meeting (RP-251881) [1]. The main objectives are</w:t>
      </w:r>
      <w:r w:rsidR="000C7DEF" w:rsidRPr="007A3C7A">
        <w:t>:</w:t>
      </w:r>
      <w:r w:rsidR="00A10FEA" w:rsidRPr="007A3C7A">
        <w:t xml:space="preserve"> </w:t>
      </w:r>
    </w:p>
    <w:tbl>
      <w:tblPr>
        <w:tblStyle w:val="TableGrid"/>
        <w:tblW w:w="0" w:type="auto"/>
        <w:tblLook w:val="04A0" w:firstRow="1" w:lastRow="0" w:firstColumn="1" w:lastColumn="0" w:noHBand="0" w:noVBand="1"/>
      </w:tblPr>
      <w:tblGrid>
        <w:gridCol w:w="9061"/>
      </w:tblGrid>
      <w:tr w:rsidR="00BF28E0" w:rsidRPr="007A3C7A" w14:paraId="3D9BD7B6" w14:textId="77777777" w:rsidTr="00BF28E0">
        <w:tc>
          <w:tcPr>
            <w:tcW w:w="9061" w:type="dxa"/>
          </w:tcPr>
          <w:p w14:paraId="4E8DABE7" w14:textId="77777777" w:rsidR="006B4DC3" w:rsidRPr="007A3C7A" w:rsidRDefault="006B4DC3" w:rsidP="006B4DC3">
            <w:pPr>
              <w:numPr>
                <w:ilvl w:val="0"/>
                <w:numId w:val="22"/>
              </w:numPr>
              <w:autoSpaceDE/>
              <w:autoSpaceDN/>
              <w:adjustRightInd/>
              <w:snapToGrid w:val="0"/>
              <w:spacing w:before="0" w:after="0"/>
              <w:jc w:val="left"/>
            </w:pPr>
            <w:r w:rsidRPr="007A3C7A">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089E1A" w14:textId="77777777" w:rsidR="006B4DC3" w:rsidRPr="007A3C7A" w:rsidRDefault="006B4DC3" w:rsidP="006B4DC3">
            <w:pPr>
              <w:numPr>
                <w:ilvl w:val="1"/>
                <w:numId w:val="23"/>
              </w:numPr>
              <w:autoSpaceDE/>
              <w:autoSpaceDN/>
              <w:adjustRightInd/>
              <w:snapToGrid w:val="0"/>
              <w:spacing w:before="0" w:after="0"/>
              <w:jc w:val="left"/>
            </w:pPr>
            <w:r w:rsidRPr="007A3C7A">
              <w:t>Ensuring appropriate set of functionalities, minimize the adoption of multiple options for the same functionality, avoid excessive configurations, excessive UE capabilities and UE capabilities reporting.</w:t>
            </w:r>
          </w:p>
          <w:p w14:paraId="61A61579" w14:textId="77777777" w:rsidR="006B4DC3" w:rsidRPr="007A3C7A" w:rsidRDefault="006B4DC3" w:rsidP="006B4DC3">
            <w:pPr>
              <w:numPr>
                <w:ilvl w:val="1"/>
                <w:numId w:val="23"/>
              </w:numPr>
              <w:autoSpaceDE/>
              <w:autoSpaceDN/>
              <w:adjustRightInd/>
              <w:snapToGrid w:val="0"/>
              <w:spacing w:before="0" w:after="0"/>
              <w:jc w:val="left"/>
            </w:pPr>
            <w:r w:rsidRPr="007A3C7A">
              <w:t>Energy efficiency and energy saving: both for network and device.</w:t>
            </w:r>
          </w:p>
          <w:p w14:paraId="3B92AE7B" w14:textId="77777777" w:rsidR="006B4DC3" w:rsidRPr="007A3C7A" w:rsidRDefault="006B4DC3" w:rsidP="006B4DC3">
            <w:pPr>
              <w:numPr>
                <w:ilvl w:val="1"/>
                <w:numId w:val="23"/>
              </w:numPr>
              <w:autoSpaceDE/>
              <w:autoSpaceDN/>
              <w:adjustRightInd/>
              <w:snapToGrid w:val="0"/>
              <w:spacing w:before="0" w:after="0"/>
              <w:jc w:val="left"/>
            </w:pPr>
            <w:r w:rsidRPr="007A3C7A">
              <w:t xml:space="preserve">Enhanced spectral efficiency. </w:t>
            </w:r>
          </w:p>
          <w:p w14:paraId="053C7144" w14:textId="77777777" w:rsidR="006B4DC3" w:rsidRPr="007A3C7A" w:rsidRDefault="006B4DC3" w:rsidP="006B4DC3">
            <w:pPr>
              <w:numPr>
                <w:ilvl w:val="1"/>
                <w:numId w:val="23"/>
              </w:numPr>
              <w:autoSpaceDE/>
              <w:autoSpaceDN/>
              <w:adjustRightInd/>
              <w:snapToGrid w:val="0"/>
              <w:spacing w:before="0" w:after="0"/>
              <w:jc w:val="left"/>
            </w:pPr>
            <w:r w:rsidRPr="007A3C7A">
              <w:t>Enhanced overall coverage, focus on cell-edge performance and UL coverage.</w:t>
            </w:r>
          </w:p>
          <w:p w14:paraId="7AD1E33D" w14:textId="77777777" w:rsidR="006B4DC3" w:rsidRPr="007A3C7A" w:rsidRDefault="006B4DC3" w:rsidP="006B4DC3">
            <w:pPr>
              <w:numPr>
                <w:ilvl w:val="1"/>
                <w:numId w:val="23"/>
              </w:numPr>
              <w:autoSpaceDE/>
              <w:autoSpaceDN/>
              <w:adjustRightInd/>
              <w:snapToGrid w:val="0"/>
              <w:spacing w:before="0" w:after="0"/>
              <w:jc w:val="left"/>
            </w:pPr>
            <w:r w:rsidRPr="007A3C7A">
              <w:t>Wider channel bandwidth (at least 200MHz) support for 6G deployments at least above 2 GHz, around 7 GHz.</w:t>
            </w:r>
          </w:p>
          <w:p w14:paraId="61079B70" w14:textId="77777777" w:rsidR="006B4DC3" w:rsidRPr="007A3C7A" w:rsidRDefault="006B4DC3" w:rsidP="006B4DC3">
            <w:pPr>
              <w:numPr>
                <w:ilvl w:val="1"/>
                <w:numId w:val="23"/>
              </w:numPr>
              <w:autoSpaceDE/>
              <w:autoSpaceDN/>
              <w:adjustRightInd/>
              <w:snapToGrid w:val="0"/>
              <w:spacing w:before="0" w:after="0"/>
              <w:jc w:val="left"/>
            </w:pPr>
            <w:r w:rsidRPr="007A3C7A">
              <w:t>Re-use of existing 5G mid-band (~3.5GHz) site grid for 6G deployments in at least around 7 GHz and targeting comparable coverage to 5G mid-band.</w:t>
            </w:r>
          </w:p>
          <w:p w14:paraId="7BE2F053" w14:textId="77777777" w:rsidR="006B4DC3" w:rsidRPr="007A3C7A" w:rsidRDefault="006B4DC3" w:rsidP="006B4DC3">
            <w:pPr>
              <w:numPr>
                <w:ilvl w:val="1"/>
                <w:numId w:val="23"/>
              </w:numPr>
              <w:autoSpaceDE/>
              <w:autoSpaceDN/>
              <w:adjustRightInd/>
              <w:snapToGrid w:val="0"/>
              <w:spacing w:before="0" w:after="0"/>
              <w:jc w:val="left"/>
            </w:pPr>
            <w:r w:rsidRPr="007A3C7A">
              <w:t>Target scalable and forward compatible design for diverse device types.</w:t>
            </w:r>
          </w:p>
          <w:p w14:paraId="4C2A9BC9" w14:textId="77777777" w:rsidR="006B4DC3" w:rsidRPr="007A3C7A" w:rsidRDefault="006B4DC3" w:rsidP="006B4DC3">
            <w:pPr>
              <w:numPr>
                <w:ilvl w:val="1"/>
                <w:numId w:val="23"/>
              </w:numPr>
              <w:autoSpaceDE/>
              <w:autoSpaceDN/>
              <w:adjustRightInd/>
              <w:snapToGrid w:val="0"/>
              <w:spacing w:before="0" w:after="0"/>
              <w:jc w:val="left"/>
            </w:pPr>
            <w:r w:rsidRPr="007A3C7A">
              <w:t>Improved spectrum utilization and operations taking into account diverse spectrum allocations.</w:t>
            </w:r>
          </w:p>
          <w:p w14:paraId="19A73C9F" w14:textId="77777777" w:rsidR="006B4DC3" w:rsidRPr="007A3C7A" w:rsidRDefault="006B4DC3" w:rsidP="006B4DC3">
            <w:pPr>
              <w:numPr>
                <w:ilvl w:val="1"/>
                <w:numId w:val="23"/>
              </w:numPr>
              <w:autoSpaceDE/>
              <w:autoSpaceDN/>
              <w:adjustRightInd/>
              <w:snapToGrid w:val="0"/>
              <w:spacing w:before="0" w:after="0"/>
              <w:jc w:val="left"/>
            </w:pPr>
            <w:r w:rsidRPr="007A3C7A">
              <w:t>Aim at using common 6G Radio design, which meets mobile broadband service requirements as high priority, to also meet vertical needs.</w:t>
            </w:r>
          </w:p>
          <w:p w14:paraId="3FCD67FE" w14:textId="77777777" w:rsidR="006B4DC3" w:rsidRPr="007A3C7A" w:rsidRDefault="006B4DC3" w:rsidP="006B4DC3">
            <w:pPr>
              <w:numPr>
                <w:ilvl w:val="1"/>
                <w:numId w:val="23"/>
              </w:numPr>
              <w:autoSpaceDE/>
              <w:autoSpaceDN/>
              <w:adjustRightInd/>
              <w:snapToGrid w:val="0"/>
              <w:spacing w:before="0" w:after="0"/>
              <w:jc w:val="left"/>
            </w:pPr>
            <w:r w:rsidRPr="007A3C7A">
              <w:t>Aim at a harmonized 6G Radio design for TN and NTN, including their integration.</w:t>
            </w:r>
          </w:p>
          <w:p w14:paraId="461B5902" w14:textId="77777777" w:rsidR="006B4DC3" w:rsidRPr="007A3C7A" w:rsidRDefault="006B4DC3" w:rsidP="006B4DC3">
            <w:pPr>
              <w:numPr>
                <w:ilvl w:val="1"/>
                <w:numId w:val="23"/>
              </w:numPr>
              <w:autoSpaceDE/>
              <w:autoSpaceDN/>
              <w:adjustRightInd/>
              <w:snapToGrid w:val="0"/>
              <w:spacing w:before="0" w:after="0"/>
              <w:jc w:val="left"/>
            </w:pPr>
            <w:r w:rsidRPr="007A3C7A">
              <w:t>System simplification, including reducing configuration complexity, enabling more efficient Cell/UE management, etc.</w:t>
            </w:r>
          </w:p>
          <w:p w14:paraId="2232847C" w14:textId="77777777" w:rsidR="006B4DC3" w:rsidRPr="007A3C7A" w:rsidRDefault="006B4DC3" w:rsidP="006B4DC3">
            <w:pPr>
              <w:autoSpaceDE/>
              <w:autoSpaceDN/>
              <w:adjustRightInd/>
              <w:snapToGrid w:val="0"/>
              <w:spacing w:after="0"/>
              <w:ind w:left="1080"/>
            </w:pPr>
            <w:r w:rsidRPr="007A3C7A">
              <w:t>Note1: the term stand-alone architecture does not imply any particular Core network architecture, which is up to SA2 discussion.</w:t>
            </w:r>
          </w:p>
          <w:p w14:paraId="07114BF6" w14:textId="77777777" w:rsidR="00236F98" w:rsidRPr="007A3C7A" w:rsidRDefault="00236F98" w:rsidP="00236F98">
            <w:pPr>
              <w:overflowPunct w:val="0"/>
              <w:spacing w:after="0"/>
              <w:textAlignment w:val="baseline"/>
              <w:rPr>
                <w:szCs w:val="16"/>
              </w:rPr>
            </w:pPr>
          </w:p>
        </w:tc>
      </w:tr>
    </w:tbl>
    <w:p w14:paraId="1EAF3590" w14:textId="77777777" w:rsidR="00204611" w:rsidRPr="007A3C7A" w:rsidRDefault="00204611" w:rsidP="00D70973">
      <w:pPr>
        <w:rPr>
          <w:rFonts w:eastAsia="DengXian"/>
          <w:iCs/>
        </w:rPr>
      </w:pPr>
    </w:p>
    <w:p w14:paraId="42A6A3FD" w14:textId="56C33479" w:rsidR="000C0D01" w:rsidRPr="007A3C7A" w:rsidRDefault="000C0D01" w:rsidP="00D70973">
      <w:pPr>
        <w:rPr>
          <w:rFonts w:eastAsia="DengXian"/>
          <w:iCs/>
        </w:rPr>
      </w:pPr>
      <w:r w:rsidRPr="007A3C7A">
        <w:rPr>
          <w:rFonts w:eastAsia="DengXian"/>
          <w:iCs/>
        </w:rPr>
        <w:t>In RAN</w:t>
      </w:r>
      <w:r w:rsidR="00461815" w:rsidRPr="007A3C7A">
        <w:rPr>
          <w:rFonts w:eastAsia="DengXian"/>
          <w:iCs/>
        </w:rPr>
        <w:t>4</w:t>
      </w:r>
      <w:r w:rsidRPr="007A3C7A">
        <w:rPr>
          <w:rFonts w:eastAsia="DengXian"/>
          <w:iCs/>
        </w:rPr>
        <w:t>#</w:t>
      </w:r>
      <w:r w:rsidR="00461815" w:rsidRPr="007A3C7A">
        <w:rPr>
          <w:rFonts w:eastAsia="DengXian"/>
          <w:iCs/>
        </w:rPr>
        <w:t>116bis</w:t>
      </w:r>
      <w:r w:rsidRPr="007A3C7A">
        <w:rPr>
          <w:rFonts w:eastAsia="DengXian"/>
          <w:iCs/>
        </w:rPr>
        <w:t xml:space="preserve">, the following is agreed: </w:t>
      </w:r>
    </w:p>
    <w:p w14:paraId="173F67D2" w14:textId="77777777" w:rsidR="00461815" w:rsidRPr="007A3C7A" w:rsidRDefault="00461815" w:rsidP="00D70973">
      <w:pPr>
        <w:rPr>
          <w:rFonts w:eastAsia="DengXian"/>
          <w:iCs/>
        </w:rPr>
      </w:pPr>
    </w:p>
    <w:p w14:paraId="17225D8C" w14:textId="77777777" w:rsidR="00461815" w:rsidRPr="007A3C7A" w:rsidRDefault="00461815" w:rsidP="00461815">
      <w:pPr>
        <w:rPr>
          <w:rFonts w:eastAsia="DengXian"/>
          <w:b/>
          <w:bCs/>
          <w:iCs/>
        </w:rPr>
      </w:pPr>
      <w:hyperlink r:id="rId8" w:history="1">
        <w:r w:rsidRPr="007A3C7A">
          <w:rPr>
            <w:rStyle w:val="Hyperlink"/>
            <w:rFonts w:eastAsia="DengXian"/>
            <w:b/>
            <w:bCs/>
            <w:iCs/>
            <w:highlight w:val="green"/>
          </w:rPr>
          <w:t>R4-2514650</w:t>
        </w:r>
      </w:hyperlink>
      <w:r w:rsidRPr="007A3C7A">
        <w:rPr>
          <w:rFonts w:eastAsia="DengXian"/>
          <w:b/>
          <w:bCs/>
          <w:iCs/>
        </w:rPr>
        <w:tab/>
        <w:t>WF on 6G system parameter</w:t>
      </w:r>
    </w:p>
    <w:p w14:paraId="2EEC6993" w14:textId="77777777" w:rsidR="00461815" w:rsidRPr="007A3C7A" w:rsidRDefault="00461815" w:rsidP="00461815">
      <w:pPr>
        <w:numPr>
          <w:ilvl w:val="0"/>
          <w:numId w:val="46"/>
        </w:numPr>
        <w:tabs>
          <w:tab w:val="clear" w:pos="360"/>
        </w:tabs>
        <w:rPr>
          <w:rFonts w:eastAsia="DengXian"/>
          <w:iCs/>
        </w:rPr>
      </w:pPr>
      <w:r w:rsidRPr="007A3C7A">
        <w:rPr>
          <w:rFonts w:eastAsia="DengXian"/>
          <w:iCs/>
        </w:rPr>
        <w:t>Framework study for waveform</w:t>
      </w:r>
    </w:p>
    <w:p w14:paraId="3E9AEA85" w14:textId="77777777" w:rsidR="00461815" w:rsidRPr="007A3C7A" w:rsidRDefault="00461815" w:rsidP="00461815">
      <w:pPr>
        <w:numPr>
          <w:ilvl w:val="1"/>
          <w:numId w:val="46"/>
        </w:numPr>
        <w:rPr>
          <w:rFonts w:eastAsia="DengXian"/>
          <w:iCs/>
        </w:rPr>
      </w:pPr>
      <w:r w:rsidRPr="007A3C7A">
        <w:rPr>
          <w:rFonts w:eastAsia="DengXian"/>
          <w:iCs/>
        </w:rPr>
        <w:t xml:space="preserve">Model and evaluate the RF performance of different waveform candidates and </w:t>
      </w:r>
      <w:r w:rsidRPr="007A3C7A">
        <w:rPr>
          <w:rFonts w:eastAsia="DengXian"/>
          <w:iCs/>
          <w:highlight w:val="yellow"/>
        </w:rPr>
        <w:t xml:space="preserve">PAPR reduction techniques </w:t>
      </w:r>
      <w:r w:rsidRPr="007A3C7A">
        <w:rPr>
          <w:rFonts w:eastAsia="DengXian"/>
          <w:iCs/>
        </w:rPr>
        <w:t>pending on RAN1 inputs</w:t>
      </w:r>
    </w:p>
    <w:p w14:paraId="5823BA0B" w14:textId="77777777" w:rsidR="00461815" w:rsidRPr="007A3C7A" w:rsidRDefault="00461815" w:rsidP="00461815">
      <w:pPr>
        <w:numPr>
          <w:ilvl w:val="2"/>
          <w:numId w:val="46"/>
        </w:numPr>
        <w:rPr>
          <w:rFonts w:eastAsia="DengXian"/>
          <w:iCs/>
        </w:rPr>
      </w:pPr>
      <w:r w:rsidRPr="007A3C7A">
        <w:rPr>
          <w:rFonts w:eastAsia="DengXian"/>
          <w:iCs/>
        </w:rPr>
        <w:t>Evaluation cases could be selected step-by-step, based on RAN1 progress</w:t>
      </w:r>
    </w:p>
    <w:p w14:paraId="6DA52E01" w14:textId="77777777" w:rsidR="00461815" w:rsidRPr="007A3C7A" w:rsidRDefault="00461815" w:rsidP="00461815">
      <w:pPr>
        <w:numPr>
          <w:ilvl w:val="2"/>
          <w:numId w:val="46"/>
        </w:numPr>
        <w:rPr>
          <w:rFonts w:eastAsia="DengXian"/>
          <w:iCs/>
        </w:rPr>
      </w:pPr>
      <w:r w:rsidRPr="007A3C7A">
        <w:rPr>
          <w:rFonts w:eastAsia="DengXian"/>
          <w:iCs/>
        </w:rPr>
        <w:t>Whether to investigate RF impacts of DL DFT-s-OFDM pending on RAN1 agreement</w:t>
      </w:r>
    </w:p>
    <w:p w14:paraId="399A9BB3" w14:textId="114229EE" w:rsidR="00461815" w:rsidRPr="007A3C7A" w:rsidRDefault="00461815" w:rsidP="00F405DB">
      <w:pPr>
        <w:numPr>
          <w:ilvl w:val="0"/>
          <w:numId w:val="44"/>
        </w:numPr>
        <w:tabs>
          <w:tab w:val="clear" w:pos="360"/>
        </w:tabs>
        <w:spacing w:before="0" w:after="0"/>
        <w:rPr>
          <w:rFonts w:eastAsia="DengXian"/>
          <w:iCs/>
        </w:rPr>
      </w:pPr>
      <w:r w:rsidRPr="007A3C7A">
        <w:rPr>
          <w:rFonts w:eastAsia="DengXian"/>
          <w:iCs/>
        </w:rPr>
        <w:t>Devices Type: The following aspects could be further studied</w:t>
      </w:r>
    </w:p>
    <w:p w14:paraId="7B53ED67" w14:textId="77777777" w:rsidR="00461815" w:rsidRPr="007A3C7A" w:rsidRDefault="00461815" w:rsidP="00461815">
      <w:pPr>
        <w:numPr>
          <w:ilvl w:val="1"/>
          <w:numId w:val="44"/>
        </w:numPr>
        <w:spacing w:before="0" w:after="0"/>
        <w:rPr>
          <w:rFonts w:eastAsia="DengXian"/>
          <w:iCs/>
        </w:rPr>
      </w:pPr>
      <w:r w:rsidRPr="007A3C7A">
        <w:rPr>
          <w:rFonts w:eastAsia="DengXian"/>
          <w:iCs/>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5DC77E47" w14:textId="77777777" w:rsidR="00461815" w:rsidRPr="007A3C7A" w:rsidRDefault="00461815" w:rsidP="00461815">
      <w:pPr>
        <w:numPr>
          <w:ilvl w:val="2"/>
          <w:numId w:val="44"/>
        </w:numPr>
        <w:spacing w:before="0" w:after="0"/>
        <w:rPr>
          <w:rFonts w:eastAsia="DengXian"/>
          <w:iCs/>
        </w:rPr>
      </w:pPr>
      <w:r w:rsidRPr="007A3C7A">
        <w:rPr>
          <w:rFonts w:eastAsia="DengXian"/>
          <w:iCs/>
        </w:rPr>
        <w:t>Study on the NW impact should also be considered</w:t>
      </w:r>
    </w:p>
    <w:p w14:paraId="49445F5B" w14:textId="77777777" w:rsidR="00461815" w:rsidRPr="007A3C7A" w:rsidRDefault="00461815" w:rsidP="00461815">
      <w:pPr>
        <w:numPr>
          <w:ilvl w:val="1"/>
          <w:numId w:val="44"/>
        </w:numPr>
        <w:spacing w:before="0" w:after="0"/>
        <w:rPr>
          <w:rFonts w:eastAsia="DengXian"/>
          <w:iCs/>
        </w:rPr>
      </w:pPr>
      <w:r w:rsidRPr="007A3C7A">
        <w:rPr>
          <w:rFonts w:eastAsia="DengXian"/>
          <w:iCs/>
        </w:rPr>
        <w:t xml:space="preserve">Study how to better support variety devices from RAN4 perspective </w:t>
      </w:r>
    </w:p>
    <w:p w14:paraId="5F0AFFAC" w14:textId="77777777" w:rsidR="00461815" w:rsidRPr="007A3C7A" w:rsidRDefault="00461815" w:rsidP="00461815">
      <w:pPr>
        <w:numPr>
          <w:ilvl w:val="2"/>
          <w:numId w:val="44"/>
        </w:numPr>
        <w:spacing w:before="0" w:after="0"/>
        <w:rPr>
          <w:rFonts w:eastAsia="DengXian"/>
          <w:iCs/>
        </w:rPr>
      </w:pPr>
      <w:r w:rsidRPr="007A3C7A">
        <w:rPr>
          <w:rFonts w:eastAsia="DengXian"/>
          <w:iCs/>
        </w:rPr>
        <w:t>E.g. differentiate devices, use cases, features</w:t>
      </w:r>
    </w:p>
    <w:p w14:paraId="43FF4C9D" w14:textId="77777777" w:rsidR="00461815" w:rsidRPr="007A3C7A" w:rsidRDefault="00461815" w:rsidP="00461815">
      <w:pPr>
        <w:numPr>
          <w:ilvl w:val="1"/>
          <w:numId w:val="44"/>
        </w:numPr>
        <w:spacing w:before="0" w:after="0"/>
        <w:rPr>
          <w:rFonts w:eastAsia="DengXian"/>
          <w:iCs/>
        </w:rPr>
      </w:pPr>
      <w:r w:rsidRPr="007A3C7A">
        <w:rPr>
          <w:rFonts w:eastAsia="DengXian"/>
          <w:iCs/>
        </w:rPr>
        <w:lastRenderedPageBreak/>
        <w:t>Other aspects are not precluded</w:t>
      </w:r>
    </w:p>
    <w:p w14:paraId="342B08CA" w14:textId="77777777" w:rsidR="00461815" w:rsidRPr="007A3C7A" w:rsidRDefault="00461815" w:rsidP="00461815">
      <w:pPr>
        <w:numPr>
          <w:ilvl w:val="0"/>
          <w:numId w:val="44"/>
        </w:numPr>
        <w:tabs>
          <w:tab w:val="clear" w:pos="360"/>
        </w:tabs>
        <w:spacing w:before="0" w:after="0"/>
        <w:rPr>
          <w:rFonts w:eastAsia="DengXian"/>
          <w:iCs/>
        </w:rPr>
      </w:pPr>
      <w:r w:rsidRPr="007A3C7A">
        <w:rPr>
          <w:rFonts w:eastAsia="DengXian"/>
          <w:iCs/>
        </w:rPr>
        <w:t>Collaborate on the framework with other WGs:</w:t>
      </w:r>
    </w:p>
    <w:p w14:paraId="71FCFA7B" w14:textId="77777777" w:rsidR="00461815" w:rsidRPr="007A3C7A" w:rsidRDefault="00461815" w:rsidP="00461815">
      <w:pPr>
        <w:numPr>
          <w:ilvl w:val="1"/>
          <w:numId w:val="44"/>
        </w:numPr>
        <w:spacing w:before="0" w:after="0"/>
        <w:rPr>
          <w:rFonts w:eastAsia="DengXian"/>
          <w:iCs/>
        </w:rPr>
      </w:pPr>
      <w:r w:rsidRPr="007A3C7A">
        <w:rPr>
          <w:rFonts w:eastAsia="DengXian"/>
          <w:iCs/>
        </w:rPr>
        <w:t>Provide necessary inputs to RAN/other WGs with RAN4's study outcome for the above-mentioned issues</w:t>
      </w:r>
    </w:p>
    <w:p w14:paraId="708A78F6" w14:textId="77777777" w:rsidR="00461815" w:rsidRPr="007A3C7A" w:rsidRDefault="00461815" w:rsidP="00461815">
      <w:pPr>
        <w:spacing w:before="0" w:after="0"/>
        <w:rPr>
          <w:rFonts w:eastAsia="DengXian"/>
          <w:iCs/>
        </w:rPr>
      </w:pPr>
    </w:p>
    <w:p w14:paraId="5C6200F4" w14:textId="77777777" w:rsidR="0075335A" w:rsidRPr="007A3C7A" w:rsidRDefault="0075335A" w:rsidP="00D70973">
      <w:pPr>
        <w:rPr>
          <w:rFonts w:eastAsia="DengXian"/>
          <w:iCs/>
        </w:rPr>
      </w:pPr>
    </w:p>
    <w:p w14:paraId="36CB7738" w14:textId="0EA6C591" w:rsidR="000C0D01" w:rsidRPr="007A3C7A" w:rsidRDefault="00461815" w:rsidP="000C0D01">
      <w:pPr>
        <w:pStyle w:val="Heading1"/>
      </w:pPr>
      <w:r w:rsidRPr="007A3C7A">
        <w:t>Discussion</w:t>
      </w:r>
    </w:p>
    <w:p w14:paraId="609AF0FC" w14:textId="5C7507C6" w:rsidR="00461815" w:rsidRPr="002A1C07" w:rsidRDefault="00461815" w:rsidP="00D505DD">
      <w:pPr>
        <w:pStyle w:val="3GPPH2"/>
      </w:pPr>
      <w:r w:rsidRPr="007A3C7A">
        <w:t xml:space="preserve">PAPR reduction techniques </w:t>
      </w:r>
    </w:p>
    <w:p w14:paraId="1CAF47DD" w14:textId="1CFDF2BF" w:rsidR="006A6FF2" w:rsidRPr="007A3C7A" w:rsidRDefault="00952722" w:rsidP="00D505DD">
      <w:pPr>
        <w:rPr>
          <w:rFonts w:eastAsia="DengXian"/>
          <w:iCs/>
        </w:rPr>
      </w:pPr>
      <w:r w:rsidRPr="007A3C7A">
        <w:rPr>
          <w:rFonts w:eastAsia="DengXian"/>
          <w:iCs/>
        </w:rPr>
        <w:t>Unlike terrestrial base stations, PA efficiency is highly critical in case of NTN satellite payloads, whether regenerative or bent-pipe, due to limited on-board power sources.</w:t>
      </w:r>
      <w:r w:rsidR="00E50CA5">
        <w:rPr>
          <w:rFonts w:eastAsia="DengXian"/>
          <w:iCs/>
        </w:rPr>
        <w:t xml:space="preserve"> </w:t>
      </w:r>
      <w:r w:rsidRPr="007A3C7A">
        <w:rPr>
          <w:rFonts w:eastAsia="DengXian"/>
          <w:iCs/>
        </w:rPr>
        <w:t>Therefore, 6G should consider different OFDM crest factor reduction techniques applicable to downlink transmissions from NTN base stations.</w:t>
      </w:r>
    </w:p>
    <w:p w14:paraId="6FC46793" w14:textId="77777777" w:rsidR="00952722" w:rsidRPr="007A3C7A" w:rsidRDefault="00952722" w:rsidP="00D505DD">
      <w:pPr>
        <w:rPr>
          <w:rFonts w:eastAsia="DengXian"/>
          <w:iCs/>
        </w:rPr>
      </w:pPr>
    </w:p>
    <w:p w14:paraId="1A45D355" w14:textId="77777777" w:rsidR="000E2B05" w:rsidRPr="007A3C7A" w:rsidRDefault="00323ED3" w:rsidP="000E2B05">
      <w:pPr>
        <w:pStyle w:val="Heading2"/>
      </w:pPr>
      <w:r w:rsidRPr="007A3C7A">
        <w:t>GNSS-less</w:t>
      </w:r>
      <w:r w:rsidR="000E2B05" w:rsidRPr="007A3C7A">
        <w:t xml:space="preserve"> operation</w:t>
      </w:r>
    </w:p>
    <w:p w14:paraId="03C92811" w14:textId="77777777" w:rsidR="00243747" w:rsidRPr="007A3C7A" w:rsidRDefault="000E2B05" w:rsidP="000E2B05">
      <w:r w:rsidRPr="007A3C7A">
        <w:t>GNSS-less is an important use case for 3GPP NTN in the evolution toward 6G</w:t>
      </w:r>
      <w:r w:rsidR="009C5F01" w:rsidRPr="007A3C7A">
        <w:t xml:space="preserve">, as </w:t>
      </w:r>
      <w:r w:rsidRPr="007A3C7A">
        <w:t xml:space="preserve">it addresses </w:t>
      </w:r>
      <w:r w:rsidR="009C5F01" w:rsidRPr="007A3C7A">
        <w:t>a key limitation today’s communication system</w:t>
      </w:r>
      <w:r w:rsidRPr="007A3C7A">
        <w:t xml:space="preserve">: </w:t>
      </w:r>
      <w:r w:rsidR="009C5F01" w:rsidRPr="007A3C7A">
        <w:t>5G NTN</w:t>
      </w:r>
      <w:r w:rsidRPr="007A3C7A">
        <w:t xml:space="preserve"> depends on the navigation system</w:t>
      </w:r>
      <w:r w:rsidR="00C55933" w:rsidRPr="007A3C7A">
        <w:t xml:space="preserve"> which can be unavailable or unreliable in various environments such as dense urban areas, indoors, or in regions affected by interference and spoofing. </w:t>
      </w:r>
      <w:r w:rsidR="009C5F01" w:rsidRPr="007A3C7A">
        <w:t xml:space="preserve">By enabling 6G to operate independently of GNSS, NTN can provide a more </w:t>
      </w:r>
      <w:r w:rsidR="00C55933" w:rsidRPr="007A3C7A">
        <w:t xml:space="preserve">resilient and ubiquitous communication </w:t>
      </w:r>
      <w:r w:rsidR="009C5F01" w:rsidRPr="007A3C7A">
        <w:t xml:space="preserve">framework, capable of supporting critical applications in emergency response, autonomous mobility, industrial IoT. </w:t>
      </w:r>
    </w:p>
    <w:p w14:paraId="5712D2E4" w14:textId="77777777" w:rsidR="00243747" w:rsidRPr="007A3C7A" w:rsidRDefault="00243747" w:rsidP="000E2B05">
      <w:r w:rsidRPr="007A3C7A">
        <w:t xml:space="preserve">A few </w:t>
      </w:r>
      <w:r w:rsidR="00F952E9" w:rsidRPr="007A3C7A">
        <w:t>designs</w:t>
      </w:r>
      <w:r w:rsidRPr="007A3C7A">
        <w:t xml:space="preserve"> needed to support GNSS-less NTN</w:t>
      </w:r>
    </w:p>
    <w:p w14:paraId="08314FF2" w14:textId="77777777" w:rsidR="00243747" w:rsidRPr="007A3C7A" w:rsidRDefault="00243747" w:rsidP="00243747">
      <w:pPr>
        <w:pStyle w:val="ListParagraph"/>
        <w:numPr>
          <w:ilvl w:val="0"/>
          <w:numId w:val="38"/>
        </w:numPr>
      </w:pPr>
      <w:r w:rsidRPr="007A3C7A">
        <w:t>Downlink synchronization signal should be robust to large doppler shift</w:t>
      </w:r>
    </w:p>
    <w:p w14:paraId="66D4A598" w14:textId="77777777" w:rsidR="00243747" w:rsidRPr="007A3C7A" w:rsidRDefault="00243747" w:rsidP="00243747">
      <w:pPr>
        <w:pStyle w:val="ListParagraph"/>
        <w:numPr>
          <w:ilvl w:val="0"/>
          <w:numId w:val="38"/>
        </w:numPr>
      </w:pPr>
      <w:r w:rsidRPr="007A3C7A">
        <w:t>Uplink RACH design must be robust to large doppler shift and large timing uncertainty</w:t>
      </w:r>
      <w:r w:rsidR="00291413" w:rsidRPr="007A3C7A">
        <w:t xml:space="preserve"> (detail can be further discussed)</w:t>
      </w:r>
    </w:p>
    <w:p w14:paraId="06E19848" w14:textId="77777777" w:rsidR="00243747" w:rsidRPr="007A3C7A" w:rsidRDefault="00243747" w:rsidP="00243747">
      <w:pPr>
        <w:pStyle w:val="ListParagraph"/>
        <w:numPr>
          <w:ilvl w:val="0"/>
          <w:numId w:val="38"/>
        </w:numPr>
      </w:pPr>
      <w:r w:rsidRPr="007A3C7A">
        <w:t>Support enhanced close-loop RTD and RTT adjustment</w:t>
      </w:r>
      <w:r w:rsidR="00FE73C5" w:rsidRPr="007A3C7A">
        <w:t>. Need to consider the signaling overhead</w:t>
      </w:r>
    </w:p>
    <w:p w14:paraId="73E5276A" w14:textId="77777777" w:rsidR="00461815" w:rsidRPr="007A3C7A" w:rsidRDefault="00461815" w:rsidP="00461815">
      <w:pPr>
        <w:pStyle w:val="3GPPH2"/>
        <w:numPr>
          <w:ilvl w:val="0"/>
          <w:numId w:val="0"/>
        </w:numPr>
        <w:ind w:left="567"/>
      </w:pPr>
    </w:p>
    <w:p w14:paraId="296F85AB" w14:textId="77777777" w:rsidR="00FD6952" w:rsidRPr="007A3C7A" w:rsidRDefault="00FD6952" w:rsidP="00FD6952"/>
    <w:p w14:paraId="3667B515" w14:textId="77777777" w:rsidR="00FF2D89" w:rsidRPr="007A3C7A" w:rsidRDefault="00FF2D89" w:rsidP="00B33E61">
      <w:pPr>
        <w:pStyle w:val="Heading1"/>
      </w:pPr>
      <w:r w:rsidRPr="007A3C7A">
        <w:t>Conclusion</w:t>
      </w:r>
    </w:p>
    <w:p w14:paraId="439AB6CD" w14:textId="412608A5" w:rsidR="00FA10DC" w:rsidRPr="007A3C7A" w:rsidRDefault="002267AB" w:rsidP="00FA10DC">
      <w:pPr>
        <w:rPr>
          <w:szCs w:val="20"/>
        </w:rPr>
      </w:pPr>
      <w:r w:rsidRPr="007A3C7A">
        <w:rPr>
          <w:szCs w:val="20"/>
        </w:rPr>
        <w:t xml:space="preserve">In this </w:t>
      </w:r>
      <w:r w:rsidR="000D516B" w:rsidRPr="007A3C7A">
        <w:rPr>
          <w:szCs w:val="20"/>
        </w:rPr>
        <w:t xml:space="preserve">contribution, </w:t>
      </w:r>
      <w:r w:rsidR="00461815" w:rsidRPr="007A3C7A">
        <w:rPr>
          <w:szCs w:val="20"/>
        </w:rPr>
        <w:t xml:space="preserve">we propose the following: </w:t>
      </w:r>
    </w:p>
    <w:p w14:paraId="6B43DB1B" w14:textId="289A9D01" w:rsidR="00E50CA5" w:rsidRPr="00E50CA5" w:rsidRDefault="00E50CA5" w:rsidP="00FA10DC">
      <w:pPr>
        <w:rPr>
          <w:b/>
          <w:bCs/>
          <w:szCs w:val="20"/>
        </w:rPr>
      </w:pPr>
      <w:r w:rsidRPr="00E50CA5">
        <w:rPr>
          <w:b/>
          <w:bCs/>
          <w:szCs w:val="20"/>
        </w:rPr>
        <w:t>PAPR reduction</w:t>
      </w:r>
    </w:p>
    <w:p w14:paraId="3D144897" w14:textId="4E85EFE0" w:rsidR="00461815" w:rsidRPr="00E50CA5" w:rsidRDefault="0086387B" w:rsidP="00FA10DC">
      <w:pPr>
        <w:rPr>
          <w:b/>
          <w:bCs/>
          <w:szCs w:val="20"/>
        </w:rPr>
      </w:pPr>
      <w:r>
        <w:rPr>
          <w:b/>
          <w:bCs/>
          <w:szCs w:val="20"/>
        </w:rPr>
        <w:t xml:space="preserve">Proposal 1: </w:t>
      </w:r>
      <w:r w:rsidR="00E50CA5" w:rsidRPr="00E50CA5">
        <w:rPr>
          <w:b/>
          <w:bCs/>
          <w:szCs w:val="20"/>
        </w:rPr>
        <w:t>Explore</w:t>
      </w:r>
      <w:r w:rsidR="00F97AEB" w:rsidRPr="00E50CA5">
        <w:rPr>
          <w:b/>
          <w:bCs/>
          <w:szCs w:val="20"/>
        </w:rPr>
        <w:t xml:space="preserve"> a</w:t>
      </w:r>
      <w:r w:rsidR="00E50CA5" w:rsidRPr="00E50CA5">
        <w:rPr>
          <w:b/>
          <w:bCs/>
          <w:szCs w:val="20"/>
        </w:rPr>
        <w:t>nd study</w:t>
      </w:r>
      <w:r w:rsidR="00F97AEB" w:rsidRPr="00E50CA5">
        <w:rPr>
          <w:b/>
          <w:bCs/>
          <w:szCs w:val="20"/>
        </w:rPr>
        <w:t xml:space="preserve"> a variety of waveform candidates to improve the PAPR of downlink transmissions from NTN base stations.</w:t>
      </w:r>
    </w:p>
    <w:p w14:paraId="2163BDF3" w14:textId="18E35EF8" w:rsidR="001C14CB" w:rsidRPr="008A389A" w:rsidRDefault="008A389A" w:rsidP="005F375F">
      <w:pPr>
        <w:rPr>
          <w:b/>
          <w:bCs/>
        </w:rPr>
      </w:pPr>
      <w:r w:rsidRPr="008A389A">
        <w:rPr>
          <w:b/>
          <w:bCs/>
        </w:rPr>
        <w:t xml:space="preserve">GNSS-resilient proposals: </w:t>
      </w:r>
    </w:p>
    <w:p w14:paraId="2A9169AD" w14:textId="3AB15BA9" w:rsidR="008A389A" w:rsidRPr="00867F6F" w:rsidRDefault="008A389A" w:rsidP="008A389A">
      <w:pPr>
        <w:rPr>
          <w:rFonts w:eastAsia="DengXian"/>
          <w:b/>
          <w:bCs/>
          <w:iCs/>
        </w:rPr>
      </w:pPr>
      <w:r w:rsidRPr="00867F6F">
        <w:rPr>
          <w:rFonts w:eastAsia="DengXian"/>
          <w:b/>
          <w:bCs/>
          <w:iCs/>
        </w:rPr>
        <w:t xml:space="preserve">Proposal </w:t>
      </w:r>
      <w:r w:rsidR="0086387B">
        <w:rPr>
          <w:rFonts w:eastAsia="DengXian"/>
          <w:b/>
          <w:bCs/>
          <w:iCs/>
        </w:rPr>
        <w:t>2</w:t>
      </w:r>
      <w:r w:rsidRPr="00867F6F">
        <w:rPr>
          <w:rFonts w:eastAsia="DengXian"/>
          <w:b/>
          <w:bCs/>
          <w:iCs/>
        </w:rPr>
        <w:t xml:space="preserve">: Support transmission of multiple preambles by the UE in different PRACH Occasions. </w:t>
      </w:r>
    </w:p>
    <w:p w14:paraId="278FD37D" w14:textId="09997A70" w:rsidR="008A389A" w:rsidRPr="00867F6F" w:rsidRDefault="008A389A" w:rsidP="008A389A">
      <w:pPr>
        <w:rPr>
          <w:rFonts w:eastAsia="DengXian"/>
          <w:b/>
          <w:bCs/>
          <w:iCs/>
        </w:rPr>
      </w:pPr>
      <w:r w:rsidRPr="00867F6F">
        <w:rPr>
          <w:rFonts w:eastAsia="DengXian"/>
          <w:b/>
          <w:bCs/>
          <w:iCs/>
        </w:rPr>
        <w:t xml:space="preserve">Proposal </w:t>
      </w:r>
      <w:r w:rsidR="0086387B">
        <w:rPr>
          <w:rFonts w:eastAsia="DengXian"/>
          <w:b/>
          <w:bCs/>
          <w:iCs/>
        </w:rPr>
        <w:t>3</w:t>
      </w:r>
      <w:r w:rsidRPr="00867F6F">
        <w:rPr>
          <w:rFonts w:eastAsia="DengXian"/>
          <w:b/>
          <w:bCs/>
          <w:iCs/>
        </w:rPr>
        <w:t xml:space="preserve">: Support on-demand transmission of a second preamble by the UE based on feedback from the </w:t>
      </w:r>
      <w:proofErr w:type="spellStart"/>
      <w:r w:rsidRPr="00867F6F">
        <w:rPr>
          <w:rFonts w:eastAsia="DengXian"/>
          <w:b/>
          <w:bCs/>
          <w:iCs/>
        </w:rPr>
        <w:t>gNB</w:t>
      </w:r>
      <w:proofErr w:type="spellEnd"/>
      <w:r>
        <w:rPr>
          <w:rFonts w:eastAsia="DengXian"/>
          <w:b/>
          <w:bCs/>
          <w:iCs/>
        </w:rPr>
        <w:t>, e.g., via Random Access Response</w:t>
      </w:r>
      <w:r w:rsidRPr="00867F6F">
        <w:rPr>
          <w:rFonts w:eastAsia="DengXian"/>
          <w:b/>
          <w:bCs/>
          <w:iCs/>
        </w:rPr>
        <w:t xml:space="preserve">. </w:t>
      </w:r>
    </w:p>
    <w:p w14:paraId="53B11A61" w14:textId="3373768D" w:rsidR="008A389A" w:rsidRDefault="008A389A" w:rsidP="008A389A">
      <w:pPr>
        <w:rPr>
          <w:rFonts w:eastAsia="DengXian"/>
          <w:b/>
          <w:bCs/>
          <w:iCs/>
        </w:rPr>
      </w:pPr>
      <w:r w:rsidRPr="00867F6F">
        <w:rPr>
          <w:rFonts w:eastAsia="DengXian"/>
          <w:b/>
          <w:bCs/>
          <w:iCs/>
        </w:rPr>
        <w:t xml:space="preserve">Proposal </w:t>
      </w:r>
      <w:r w:rsidR="0086387B">
        <w:rPr>
          <w:rFonts w:eastAsia="DengXian"/>
          <w:b/>
          <w:bCs/>
          <w:iCs/>
        </w:rPr>
        <w:t>4</w:t>
      </w:r>
      <w:r w:rsidRPr="00867F6F">
        <w:rPr>
          <w:rFonts w:eastAsia="DengXian"/>
          <w:b/>
          <w:bCs/>
          <w:iCs/>
        </w:rPr>
        <w:t xml:space="preserve">: For transmitting multiple preambles by the UE, the relation between the root indices to be studied with the objective of achieving maximum robustness to peak detection inaccuracies. </w:t>
      </w:r>
    </w:p>
    <w:p w14:paraId="6F4E834C" w14:textId="77777777" w:rsidR="008A389A" w:rsidRPr="007A3C7A" w:rsidRDefault="008A389A" w:rsidP="005F375F"/>
    <w:sectPr w:rsidR="008A389A" w:rsidRPr="007A3C7A"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F8EE1" w14:textId="77777777" w:rsidR="00244FC0" w:rsidRDefault="00244FC0">
      <w:r>
        <w:separator/>
      </w:r>
    </w:p>
  </w:endnote>
  <w:endnote w:type="continuationSeparator" w:id="0">
    <w:p w14:paraId="78E5C5EA" w14:textId="77777777" w:rsidR="00244FC0" w:rsidRDefault="0024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1A24F" w14:textId="77777777" w:rsidR="00244FC0" w:rsidRDefault="00244FC0">
      <w:r>
        <w:separator/>
      </w:r>
    </w:p>
  </w:footnote>
  <w:footnote w:type="continuationSeparator" w:id="0">
    <w:p w14:paraId="064782B7" w14:textId="77777777" w:rsidR="00244FC0" w:rsidRDefault="00244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3pt;height:75.3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C07B43"/>
    <w:multiLevelType w:val="hybridMultilevel"/>
    <w:tmpl w:val="23C0D5B2"/>
    <w:lvl w:ilvl="0" w:tplc="D05C0370">
      <w:start w:val="1"/>
      <w:numFmt w:val="bullet"/>
      <w:lvlText w:val="•"/>
      <w:lvlJc w:val="left"/>
      <w:pPr>
        <w:tabs>
          <w:tab w:val="num" w:pos="720"/>
        </w:tabs>
        <w:ind w:left="720" w:hanging="360"/>
      </w:pPr>
      <w:rPr>
        <w:rFonts w:ascii="Arial" w:hAnsi="Arial" w:hint="default"/>
      </w:rPr>
    </w:lvl>
    <w:lvl w:ilvl="1" w:tplc="453EC78A">
      <w:start w:val="1"/>
      <w:numFmt w:val="bullet"/>
      <w:lvlText w:val="•"/>
      <w:lvlJc w:val="left"/>
      <w:pPr>
        <w:tabs>
          <w:tab w:val="num" w:pos="1440"/>
        </w:tabs>
        <w:ind w:left="1440" w:hanging="360"/>
      </w:pPr>
      <w:rPr>
        <w:rFonts w:ascii="Arial" w:hAnsi="Arial" w:hint="default"/>
      </w:rPr>
    </w:lvl>
    <w:lvl w:ilvl="2" w:tplc="820A4F58">
      <w:numFmt w:val="bullet"/>
      <w:lvlText w:val="•"/>
      <w:lvlJc w:val="left"/>
      <w:pPr>
        <w:tabs>
          <w:tab w:val="num" w:pos="2160"/>
        </w:tabs>
        <w:ind w:left="2160" w:hanging="360"/>
      </w:pPr>
      <w:rPr>
        <w:rFonts w:ascii="Arial" w:hAnsi="Arial" w:hint="default"/>
      </w:rPr>
    </w:lvl>
    <w:lvl w:ilvl="3" w:tplc="36D02CC8">
      <w:numFmt w:val="bullet"/>
      <w:lvlText w:val="•"/>
      <w:lvlJc w:val="left"/>
      <w:pPr>
        <w:tabs>
          <w:tab w:val="num" w:pos="2880"/>
        </w:tabs>
        <w:ind w:left="2880" w:hanging="360"/>
      </w:pPr>
      <w:rPr>
        <w:rFonts w:ascii="Arial" w:hAnsi="Arial" w:hint="default"/>
      </w:rPr>
    </w:lvl>
    <w:lvl w:ilvl="4" w:tplc="3CB0989E" w:tentative="1">
      <w:start w:val="1"/>
      <w:numFmt w:val="bullet"/>
      <w:lvlText w:val="•"/>
      <w:lvlJc w:val="left"/>
      <w:pPr>
        <w:tabs>
          <w:tab w:val="num" w:pos="3600"/>
        </w:tabs>
        <w:ind w:left="3600" w:hanging="360"/>
      </w:pPr>
      <w:rPr>
        <w:rFonts w:ascii="Arial" w:hAnsi="Arial" w:hint="default"/>
      </w:rPr>
    </w:lvl>
    <w:lvl w:ilvl="5" w:tplc="8CB6AF80" w:tentative="1">
      <w:start w:val="1"/>
      <w:numFmt w:val="bullet"/>
      <w:lvlText w:val="•"/>
      <w:lvlJc w:val="left"/>
      <w:pPr>
        <w:tabs>
          <w:tab w:val="num" w:pos="4320"/>
        </w:tabs>
        <w:ind w:left="4320" w:hanging="360"/>
      </w:pPr>
      <w:rPr>
        <w:rFonts w:ascii="Arial" w:hAnsi="Arial" w:hint="default"/>
      </w:rPr>
    </w:lvl>
    <w:lvl w:ilvl="6" w:tplc="5796AC2A" w:tentative="1">
      <w:start w:val="1"/>
      <w:numFmt w:val="bullet"/>
      <w:lvlText w:val="•"/>
      <w:lvlJc w:val="left"/>
      <w:pPr>
        <w:tabs>
          <w:tab w:val="num" w:pos="5040"/>
        </w:tabs>
        <w:ind w:left="5040" w:hanging="360"/>
      </w:pPr>
      <w:rPr>
        <w:rFonts w:ascii="Arial" w:hAnsi="Arial" w:hint="default"/>
      </w:rPr>
    </w:lvl>
    <w:lvl w:ilvl="7" w:tplc="79041EEC" w:tentative="1">
      <w:start w:val="1"/>
      <w:numFmt w:val="bullet"/>
      <w:lvlText w:val="•"/>
      <w:lvlJc w:val="left"/>
      <w:pPr>
        <w:tabs>
          <w:tab w:val="num" w:pos="5760"/>
        </w:tabs>
        <w:ind w:left="5760" w:hanging="360"/>
      </w:pPr>
      <w:rPr>
        <w:rFonts w:ascii="Arial" w:hAnsi="Arial" w:hint="default"/>
      </w:rPr>
    </w:lvl>
    <w:lvl w:ilvl="8" w:tplc="C88C42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6A362E"/>
    <w:multiLevelType w:val="hybridMultilevel"/>
    <w:tmpl w:val="2AE606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F7C10B3"/>
    <w:multiLevelType w:val="hybridMultilevel"/>
    <w:tmpl w:val="8A30E5F2"/>
    <w:lvl w:ilvl="0" w:tplc="32EAA958">
      <w:start w:val="1"/>
      <w:numFmt w:val="bullet"/>
      <w:lvlText w:val="•"/>
      <w:lvlJc w:val="left"/>
      <w:pPr>
        <w:tabs>
          <w:tab w:val="num" w:pos="360"/>
        </w:tabs>
        <w:ind w:left="360" w:hanging="360"/>
      </w:pPr>
      <w:rPr>
        <w:rFonts w:ascii="Arial" w:hAnsi="Arial" w:hint="default"/>
      </w:rPr>
    </w:lvl>
    <w:lvl w:ilvl="1" w:tplc="40C43544">
      <w:start w:val="1"/>
      <w:numFmt w:val="bullet"/>
      <w:lvlText w:val="•"/>
      <w:lvlJc w:val="left"/>
      <w:pPr>
        <w:tabs>
          <w:tab w:val="num" w:pos="1080"/>
        </w:tabs>
        <w:ind w:left="1080" w:hanging="360"/>
      </w:pPr>
      <w:rPr>
        <w:rFonts w:ascii="Arial" w:hAnsi="Arial" w:hint="default"/>
      </w:rPr>
    </w:lvl>
    <w:lvl w:ilvl="2" w:tplc="F16C568C">
      <w:start w:val="1"/>
      <w:numFmt w:val="bullet"/>
      <w:lvlText w:val="•"/>
      <w:lvlJc w:val="left"/>
      <w:pPr>
        <w:tabs>
          <w:tab w:val="num" w:pos="1800"/>
        </w:tabs>
        <w:ind w:left="1800" w:hanging="360"/>
      </w:pPr>
      <w:rPr>
        <w:rFonts w:ascii="Arial" w:hAnsi="Arial" w:hint="default"/>
      </w:rPr>
    </w:lvl>
    <w:lvl w:ilvl="3" w:tplc="A3188070">
      <w:start w:val="1"/>
      <w:numFmt w:val="bullet"/>
      <w:lvlText w:val="•"/>
      <w:lvlJc w:val="left"/>
      <w:pPr>
        <w:tabs>
          <w:tab w:val="num" w:pos="2520"/>
        </w:tabs>
        <w:ind w:left="2520" w:hanging="360"/>
      </w:pPr>
      <w:rPr>
        <w:rFonts w:ascii="Arial" w:hAnsi="Arial" w:hint="default"/>
      </w:rPr>
    </w:lvl>
    <w:lvl w:ilvl="4" w:tplc="E19248AE" w:tentative="1">
      <w:start w:val="1"/>
      <w:numFmt w:val="bullet"/>
      <w:lvlText w:val="•"/>
      <w:lvlJc w:val="left"/>
      <w:pPr>
        <w:tabs>
          <w:tab w:val="num" w:pos="3240"/>
        </w:tabs>
        <w:ind w:left="3240" w:hanging="360"/>
      </w:pPr>
      <w:rPr>
        <w:rFonts w:ascii="Arial" w:hAnsi="Arial" w:hint="default"/>
      </w:rPr>
    </w:lvl>
    <w:lvl w:ilvl="5" w:tplc="D1B227CC" w:tentative="1">
      <w:start w:val="1"/>
      <w:numFmt w:val="bullet"/>
      <w:lvlText w:val="•"/>
      <w:lvlJc w:val="left"/>
      <w:pPr>
        <w:tabs>
          <w:tab w:val="num" w:pos="3960"/>
        </w:tabs>
        <w:ind w:left="3960" w:hanging="360"/>
      </w:pPr>
      <w:rPr>
        <w:rFonts w:ascii="Arial" w:hAnsi="Arial" w:hint="default"/>
      </w:rPr>
    </w:lvl>
    <w:lvl w:ilvl="6" w:tplc="1BBE95F8" w:tentative="1">
      <w:start w:val="1"/>
      <w:numFmt w:val="bullet"/>
      <w:lvlText w:val="•"/>
      <w:lvlJc w:val="left"/>
      <w:pPr>
        <w:tabs>
          <w:tab w:val="num" w:pos="4680"/>
        </w:tabs>
        <w:ind w:left="4680" w:hanging="360"/>
      </w:pPr>
      <w:rPr>
        <w:rFonts w:ascii="Arial" w:hAnsi="Arial" w:hint="default"/>
      </w:rPr>
    </w:lvl>
    <w:lvl w:ilvl="7" w:tplc="C360D0BC" w:tentative="1">
      <w:start w:val="1"/>
      <w:numFmt w:val="bullet"/>
      <w:lvlText w:val="•"/>
      <w:lvlJc w:val="left"/>
      <w:pPr>
        <w:tabs>
          <w:tab w:val="num" w:pos="5400"/>
        </w:tabs>
        <w:ind w:left="5400" w:hanging="360"/>
      </w:pPr>
      <w:rPr>
        <w:rFonts w:ascii="Arial" w:hAnsi="Arial" w:hint="default"/>
      </w:rPr>
    </w:lvl>
    <w:lvl w:ilvl="8" w:tplc="67C20B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BA3CBA"/>
    <w:multiLevelType w:val="hybridMultilevel"/>
    <w:tmpl w:val="CD060D68"/>
    <w:lvl w:ilvl="0" w:tplc="C8C22E7C">
      <w:start w:val="1"/>
      <w:numFmt w:val="bullet"/>
      <w:lvlText w:val="•"/>
      <w:lvlJc w:val="left"/>
      <w:pPr>
        <w:tabs>
          <w:tab w:val="num" w:pos="360"/>
        </w:tabs>
        <w:ind w:left="360" w:hanging="360"/>
      </w:pPr>
      <w:rPr>
        <w:rFonts w:ascii="Arial" w:hAnsi="Arial" w:hint="default"/>
      </w:rPr>
    </w:lvl>
    <w:lvl w:ilvl="1" w:tplc="A942E2B2">
      <w:start w:val="1"/>
      <w:numFmt w:val="bullet"/>
      <w:lvlText w:val="•"/>
      <w:lvlJc w:val="left"/>
      <w:pPr>
        <w:tabs>
          <w:tab w:val="num" w:pos="1080"/>
        </w:tabs>
        <w:ind w:left="1080" w:hanging="360"/>
      </w:pPr>
      <w:rPr>
        <w:rFonts w:ascii="Arial" w:hAnsi="Arial" w:hint="default"/>
      </w:rPr>
    </w:lvl>
    <w:lvl w:ilvl="2" w:tplc="786C39EE">
      <w:numFmt w:val="bullet"/>
      <w:lvlText w:val="•"/>
      <w:lvlJc w:val="left"/>
      <w:pPr>
        <w:tabs>
          <w:tab w:val="num" w:pos="1800"/>
        </w:tabs>
        <w:ind w:left="1800" w:hanging="360"/>
      </w:pPr>
      <w:rPr>
        <w:rFonts w:ascii="Arial" w:hAnsi="Arial" w:hint="default"/>
      </w:rPr>
    </w:lvl>
    <w:lvl w:ilvl="3" w:tplc="B7CA31CC">
      <w:numFmt w:val="bullet"/>
      <w:lvlText w:val="•"/>
      <w:lvlJc w:val="left"/>
      <w:pPr>
        <w:tabs>
          <w:tab w:val="num" w:pos="2520"/>
        </w:tabs>
        <w:ind w:left="2520" w:hanging="360"/>
      </w:pPr>
      <w:rPr>
        <w:rFonts w:ascii="Arial" w:hAnsi="Arial" w:hint="default"/>
      </w:rPr>
    </w:lvl>
    <w:lvl w:ilvl="4" w:tplc="E724FA44" w:tentative="1">
      <w:start w:val="1"/>
      <w:numFmt w:val="bullet"/>
      <w:lvlText w:val="•"/>
      <w:lvlJc w:val="left"/>
      <w:pPr>
        <w:tabs>
          <w:tab w:val="num" w:pos="3240"/>
        </w:tabs>
        <w:ind w:left="3240" w:hanging="360"/>
      </w:pPr>
      <w:rPr>
        <w:rFonts w:ascii="Arial" w:hAnsi="Arial" w:hint="default"/>
      </w:rPr>
    </w:lvl>
    <w:lvl w:ilvl="5" w:tplc="B4943C0A" w:tentative="1">
      <w:start w:val="1"/>
      <w:numFmt w:val="bullet"/>
      <w:lvlText w:val="•"/>
      <w:lvlJc w:val="left"/>
      <w:pPr>
        <w:tabs>
          <w:tab w:val="num" w:pos="3960"/>
        </w:tabs>
        <w:ind w:left="3960" w:hanging="360"/>
      </w:pPr>
      <w:rPr>
        <w:rFonts w:ascii="Arial" w:hAnsi="Arial" w:hint="default"/>
      </w:rPr>
    </w:lvl>
    <w:lvl w:ilvl="6" w:tplc="BF90741C" w:tentative="1">
      <w:start w:val="1"/>
      <w:numFmt w:val="bullet"/>
      <w:lvlText w:val="•"/>
      <w:lvlJc w:val="left"/>
      <w:pPr>
        <w:tabs>
          <w:tab w:val="num" w:pos="4680"/>
        </w:tabs>
        <w:ind w:left="4680" w:hanging="360"/>
      </w:pPr>
      <w:rPr>
        <w:rFonts w:ascii="Arial" w:hAnsi="Arial" w:hint="default"/>
      </w:rPr>
    </w:lvl>
    <w:lvl w:ilvl="7" w:tplc="F568508A" w:tentative="1">
      <w:start w:val="1"/>
      <w:numFmt w:val="bullet"/>
      <w:lvlText w:val="•"/>
      <w:lvlJc w:val="left"/>
      <w:pPr>
        <w:tabs>
          <w:tab w:val="num" w:pos="5400"/>
        </w:tabs>
        <w:ind w:left="5400" w:hanging="360"/>
      </w:pPr>
      <w:rPr>
        <w:rFonts w:ascii="Arial" w:hAnsi="Arial" w:hint="default"/>
      </w:rPr>
    </w:lvl>
    <w:lvl w:ilvl="8" w:tplc="1EFADA2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2"/>
  </w:num>
  <w:num w:numId="2" w16cid:durableId="1392655538">
    <w:abstractNumId w:val="9"/>
  </w:num>
  <w:num w:numId="3" w16cid:durableId="428550272">
    <w:abstractNumId w:val="35"/>
  </w:num>
  <w:num w:numId="4" w16cid:durableId="774859772">
    <w:abstractNumId w:val="3"/>
  </w:num>
  <w:num w:numId="5" w16cid:durableId="1289042531">
    <w:abstractNumId w:val="21"/>
  </w:num>
  <w:num w:numId="6" w16cid:durableId="1244148161">
    <w:abstractNumId w:val="31"/>
  </w:num>
  <w:num w:numId="7" w16cid:durableId="1713382998">
    <w:abstractNumId w:val="24"/>
  </w:num>
  <w:num w:numId="8" w16cid:durableId="1355228006">
    <w:abstractNumId w:val="19"/>
  </w:num>
  <w:num w:numId="9" w16cid:durableId="1218202362">
    <w:abstractNumId w:val="13"/>
  </w:num>
  <w:num w:numId="10" w16cid:durableId="1140607571">
    <w:abstractNumId w:val="0"/>
  </w:num>
  <w:num w:numId="11" w16cid:durableId="838614768">
    <w:abstractNumId w:val="23"/>
  </w:num>
  <w:num w:numId="12" w16cid:durableId="12533053">
    <w:abstractNumId w:val="11"/>
  </w:num>
  <w:num w:numId="13" w16cid:durableId="1701928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25"/>
  </w:num>
  <w:num w:numId="15" w16cid:durableId="46609625">
    <w:abstractNumId w:val="14"/>
  </w:num>
  <w:num w:numId="16" w16cid:durableId="1753040699">
    <w:abstractNumId w:val="17"/>
  </w:num>
  <w:num w:numId="17" w16cid:durableId="1898466789">
    <w:abstractNumId w:val="38"/>
  </w:num>
  <w:num w:numId="18" w16cid:durableId="726610530">
    <w:abstractNumId w:val="9"/>
  </w:num>
  <w:num w:numId="19" w16cid:durableId="1719428614">
    <w:abstractNumId w:val="33"/>
  </w:num>
  <w:num w:numId="20" w16cid:durableId="432937264">
    <w:abstractNumId w:val="9"/>
  </w:num>
  <w:num w:numId="21" w16cid:durableId="623968984">
    <w:abstractNumId w:val="29"/>
  </w:num>
  <w:num w:numId="22" w16cid:durableId="1374882698">
    <w:abstractNumId w:val="16"/>
  </w:num>
  <w:num w:numId="23" w16cid:durableId="11537142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26"/>
  </w:num>
  <w:num w:numId="25" w16cid:durableId="2045905877">
    <w:abstractNumId w:val="9"/>
  </w:num>
  <w:num w:numId="26" w16cid:durableId="1471243248">
    <w:abstractNumId w:val="28"/>
  </w:num>
  <w:num w:numId="27" w16cid:durableId="589393986">
    <w:abstractNumId w:val="32"/>
  </w:num>
  <w:num w:numId="28" w16cid:durableId="2005741801">
    <w:abstractNumId w:val="37"/>
  </w:num>
  <w:num w:numId="29" w16cid:durableId="2125225125">
    <w:abstractNumId w:val="10"/>
  </w:num>
  <w:num w:numId="30" w16cid:durableId="555049108">
    <w:abstractNumId w:val="4"/>
  </w:num>
  <w:num w:numId="31" w16cid:durableId="1099331800">
    <w:abstractNumId w:val="18"/>
  </w:num>
  <w:num w:numId="32" w16cid:durableId="1824274228">
    <w:abstractNumId w:val="8"/>
  </w:num>
  <w:num w:numId="33" w16cid:durableId="1628706790">
    <w:abstractNumId w:val="2"/>
  </w:num>
  <w:num w:numId="34" w16cid:durableId="1214200068">
    <w:abstractNumId w:val="34"/>
  </w:num>
  <w:num w:numId="35" w16cid:durableId="1830294173">
    <w:abstractNumId w:val="9"/>
  </w:num>
  <w:num w:numId="36" w16cid:durableId="938414390">
    <w:abstractNumId w:val="30"/>
  </w:num>
  <w:num w:numId="37" w16cid:durableId="1829711585">
    <w:abstractNumId w:val="16"/>
  </w:num>
  <w:num w:numId="38" w16cid:durableId="1266687829">
    <w:abstractNumId w:val="5"/>
  </w:num>
  <w:num w:numId="39" w16cid:durableId="1745452838">
    <w:abstractNumId w:val="36"/>
  </w:num>
  <w:num w:numId="40" w16cid:durableId="1265455544">
    <w:abstractNumId w:val="20"/>
  </w:num>
  <w:num w:numId="41" w16cid:durableId="1298295595">
    <w:abstractNumId w:val="9"/>
  </w:num>
  <w:num w:numId="42" w16cid:durableId="434247589">
    <w:abstractNumId w:val="9"/>
  </w:num>
  <w:num w:numId="43" w16cid:durableId="351807205">
    <w:abstractNumId w:val="7"/>
  </w:num>
  <w:num w:numId="44" w16cid:durableId="1363477681">
    <w:abstractNumId w:val="6"/>
  </w:num>
  <w:num w:numId="45" w16cid:durableId="393088653">
    <w:abstractNumId w:val="1"/>
  </w:num>
  <w:num w:numId="46" w16cid:durableId="1079717644">
    <w:abstractNumId w:val="15"/>
  </w:num>
  <w:num w:numId="47" w16cid:durableId="116431517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02C"/>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4FC0"/>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0E"/>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07"/>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2F2F"/>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5F5"/>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9C5"/>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24A"/>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815"/>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717"/>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5F18"/>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B3"/>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885"/>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B1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2F1"/>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2BE"/>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723"/>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C7A"/>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7FF"/>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87B"/>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B6E"/>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A"/>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D5A"/>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722"/>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57B"/>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CA5"/>
    <w:rsid w:val="00E50EB6"/>
    <w:rsid w:val="00E51148"/>
    <w:rsid w:val="00E51199"/>
    <w:rsid w:val="00E511EE"/>
    <w:rsid w:val="00E51227"/>
    <w:rsid w:val="00E515A9"/>
    <w:rsid w:val="00E51C97"/>
    <w:rsid w:val="00E51CFA"/>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833"/>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1D7"/>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5C1"/>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76A"/>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EB"/>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eastAsia="en-US"/>
    </w:rPr>
  </w:style>
  <w:style w:type="numbering" w:customStyle="1" w:styleId="CurrentList1">
    <w:name w:val="Current List1"/>
    <w:uiPriority w:val="99"/>
    <w:rsid w:val="0097306E"/>
    <w:pPr>
      <w:numPr>
        <w:numId w:val="39"/>
      </w:numPr>
    </w:pPr>
  </w:style>
  <w:style w:type="character" w:styleId="UnresolvedMention">
    <w:name w:val="Unresolved Mention"/>
    <w:basedOn w:val="DefaultParagraphFont"/>
    <w:uiPriority w:val="99"/>
    <w:semiHidden/>
    <w:unhideWhenUsed/>
    <w:rsid w:val="004618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5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5032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Raja Tamma</cp:lastModifiedBy>
  <cp:revision>15</cp:revision>
  <cp:lastPrinted>2015-07-25T09:06:00Z</cp:lastPrinted>
  <dcterms:created xsi:type="dcterms:W3CDTF">2025-10-27T18:03:00Z</dcterms:created>
  <dcterms:modified xsi:type="dcterms:W3CDTF">2025-11-06T16:32:00Z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